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bookmarkEnd w:id="0"/>
    <w:tbl>
      <w:tblPr>
        <w:tblStyle w:val="2"/>
        <w:tblW w:w="857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5546"/>
        <w:gridCol w:w="1011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公文小标宋简" w:cs="Times New Roman"/>
                <w:sz w:val="44"/>
                <w:szCs w:val="44"/>
              </w:rPr>
            </w:pPr>
            <w:r>
              <w:rPr>
                <w:rFonts w:ascii="Times New Roman" w:hAnsi="Times New Roman" w:eastAsia="公文小标宋简" w:cs="Times New Roman"/>
                <w:color w:val="000000"/>
                <w:sz w:val="44"/>
                <w:szCs w:val="44"/>
              </w:rPr>
              <w:t>中山市卫生监督所2022年制服需求表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品目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冬上衣（西装，含肩章、臂章）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冬裤（有里布）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秋普长衬（含肩章、臂章）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秋裤（有里布）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短衬（含肩章、臂章）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夏裤（无里布）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秋普长衬（无臂章）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冬大衣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冬帽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夏帽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领带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肩章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皮带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胸号牌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panose1 w:val="02010609010101010101"/>
    <w:charset w:val="86"/>
    <w:family w:val="modern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F27B6"/>
    <w:rsid w:val="309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2022-07-04T07:42:00Z</dcterms:created>
  <dc:creator>刘姝晗</dc:creator>
  <cp:lastModifiedBy>刘姝晗</cp:lastModifiedBy>
  <dcterms:modified xsi:type="dcterms:W3CDTF">2022-07-04T07:42:36Z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